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我公司已认真审</w:t>
      </w: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阅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“书画养心，其叶蓁蓁”——遂宁市美术馆、遂宁市博物馆馆藏艺术作品展展览布展项目的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比选公告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，已知晓文件条款，了解项目有关情况，自愿申请参加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“书画养心，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其叶蓁蓁”——遂宁市美术馆、遂宁市博物馆馆藏艺术作品展展览布展项目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的比选活动。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二、我方愿意提供贵方可能另外要求的、与比选有关的文件资料，保证我方已提供和将要提供的文件资料是真实、准确的。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三、我方完全理解采购人不一定接受最低报价的投标或收到的任何投标。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我公司承诺：依法参加该项目的比选，严格按照相关法律法规比选。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供应商名称：（公章）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法定代表人或授权代表（签字）：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通讯地址：                    邮政编码：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联系电话：                    传真：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25A70515"/>
    <w:rsid w:val="25A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2022-11-29T03:54:00Z</dcterms:created>
  <dc:creator>旷野之音</dc:creator>
  <cp:lastModifiedBy>旷野之音</cp:lastModifiedBy>
  <dcterms:modified xsi:type="dcterms:W3CDTF">2022-11-29T03:54:34Z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11E7F54DAEDA4BC8A312A0B537AD70B5</vt:lpwstr>
  </property>
</Properties>
</file>